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BA" w:rsidRPr="00094CE5" w:rsidRDefault="006A76BA" w:rsidP="00285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14142"/>
          <w:sz w:val="24"/>
          <w:szCs w:val="24"/>
          <w:lang w:eastAsia="lv-LV"/>
        </w:rPr>
      </w:pPr>
      <w:r w:rsidRPr="00094CE5">
        <w:rPr>
          <w:rFonts w:ascii="Times New Roman" w:eastAsia="Times New Roman" w:hAnsi="Times New Roman" w:cs="Times New Roman"/>
          <w:b/>
          <w:color w:val="414142"/>
          <w:sz w:val="24"/>
          <w:szCs w:val="24"/>
          <w:lang w:eastAsia="lv-LV"/>
        </w:rPr>
        <w:t>SIA “Alberts GS”</w:t>
      </w:r>
    </w:p>
    <w:p w:rsidR="006A76BA" w:rsidRPr="00094CE5" w:rsidRDefault="006A76BA" w:rsidP="00285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  <w:r w:rsidRPr="00094CE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Reģ.Nr. 40003312682</w:t>
      </w:r>
    </w:p>
    <w:p w:rsidR="006A76BA" w:rsidRPr="00094CE5" w:rsidRDefault="006A76BA" w:rsidP="00285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  <w:r w:rsidRPr="00094CE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“Stikāni”, Sīļukalna pag., Riebiņu novads, LV-5331</w:t>
      </w:r>
    </w:p>
    <w:p w:rsidR="006A76BA" w:rsidRPr="00094CE5" w:rsidRDefault="006A76BA" w:rsidP="00285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  <w:r w:rsidRPr="00094CE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Būvkomersanra reģ.Nr. 0070-R</w:t>
      </w:r>
    </w:p>
    <w:p w:rsidR="006A76BA" w:rsidRPr="00094CE5" w:rsidRDefault="006A76BA" w:rsidP="00285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  <w:r w:rsidRPr="00094CE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Tālr. +371 26156660</w:t>
      </w:r>
    </w:p>
    <w:p w:rsidR="006A76BA" w:rsidRPr="006A76BA" w:rsidRDefault="006A76BA" w:rsidP="002858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</w:pPr>
      <w:r w:rsidRPr="00094CE5">
        <w:rPr>
          <w:rFonts w:ascii="Times New Roman" w:eastAsia="Times New Roman" w:hAnsi="Times New Roman" w:cs="Times New Roman"/>
          <w:color w:val="414142"/>
          <w:sz w:val="24"/>
          <w:szCs w:val="24"/>
          <w:lang w:eastAsia="lv-LV"/>
        </w:rPr>
        <w:t>Alberts.firma@inbox.lv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24"/>
      </w:tblGrid>
      <w:tr w:rsidR="006A76BA" w:rsidRPr="006A76BA" w:rsidTr="00094CE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shd w:val="clear" w:color="auto" w:fill="FFFFFF"/>
          </w:tcPr>
          <w:p w:rsidR="006A76BA" w:rsidRPr="006A76BA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0"/>
                <w:szCs w:val="20"/>
                <w:lang w:eastAsia="lv-LV"/>
              </w:rPr>
            </w:pPr>
          </w:p>
        </w:tc>
      </w:tr>
      <w:tr w:rsidR="006A76BA" w:rsidRPr="006A76BA" w:rsidTr="00094CE5">
        <w:trPr>
          <w:trHeight w:val="631"/>
        </w:trPr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shd w:val="clear" w:color="auto" w:fill="FFFFFF"/>
          </w:tcPr>
          <w:p w:rsidR="006A76BA" w:rsidRPr="006A76BA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0"/>
                <w:szCs w:val="20"/>
                <w:lang w:eastAsia="lv-LV"/>
              </w:rPr>
            </w:pPr>
          </w:p>
        </w:tc>
      </w:tr>
      <w:tr w:rsidR="006A76BA" w:rsidRPr="006A76BA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A76BA" w:rsidRPr="006A76BA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0"/>
                <w:szCs w:val="20"/>
                <w:lang w:eastAsia="lv-LV"/>
              </w:rPr>
            </w:pP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A76BA" w:rsidRDefault="00665A2E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Tehniskās izpētes</w:t>
            </w:r>
            <w:r w:rsidR="006A76BA" w:rsidRPr="009E15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atzinums</w:t>
            </w:r>
          </w:p>
          <w:p w:rsidR="00AF337C" w:rsidRPr="009E15E5" w:rsidRDefault="00AF337C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TIS.</w:t>
            </w:r>
          </w:p>
          <w:p w:rsidR="00094CE5" w:rsidRPr="009E15E5" w:rsidRDefault="00937277" w:rsidP="0028584D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37277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lv-LV"/>
              </w:rPr>
              <w:drawing>
                <wp:inline distT="0" distB="0" distL="0" distR="0">
                  <wp:extent cx="4327766" cy="3247390"/>
                  <wp:effectExtent l="0" t="0" r="0" b="0"/>
                  <wp:docPr id="7" name="Picture 7" descr="C:\Users\Valdis\Desktop\Darbs\DARBI 2016\Valka\Valka Seminara iela bildes\IMG_56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aldis\Desktop\Darbs\DARBI 2016\Valka\Valka Seminara iela bildes\IMG_56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693" cy="3249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6A76BA" w:rsidRPr="009E15E5" w:rsidRDefault="005F5BC6" w:rsidP="005F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ATC ēka </w:t>
            </w:r>
            <w:r w:rsidR="00094DDF" w:rsidRPr="009E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,</w:t>
            </w:r>
            <w:r w:rsidR="00665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kad.nr</w:t>
            </w:r>
            <w:r w:rsidR="00470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9401 001 0609 </w:t>
            </w:r>
            <w:r w:rsidR="00094DDF" w:rsidRPr="009E1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, </w:t>
            </w:r>
            <w:r w:rsidR="004706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Semināra iela 21, Valka, Valkas novads</w:t>
            </w:r>
          </w:p>
        </w:tc>
      </w:tr>
      <w:tr w:rsidR="009E15E5" w:rsidRPr="009E15E5" w:rsidTr="0020590F">
        <w:trPr>
          <w:trHeight w:val="401"/>
        </w:trPr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6A76BA" w:rsidRPr="009E15E5" w:rsidRDefault="006A76BA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(būves nosaukums, zemes vienības kadastra numurs un adrese)</w:t>
            </w: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6A76BA" w:rsidRPr="009E15E5" w:rsidRDefault="005F5BC6" w:rsidP="005F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Valkas</w:t>
            </w:r>
            <w:r w:rsidR="00B5474F" w:rsidRPr="009E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novada dome, līgums Nr</w:t>
            </w:r>
            <w:r w:rsidR="00FC6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VND/4-22/16/15</w:t>
            </w:r>
            <w:r w:rsidR="00B5474F" w:rsidRPr="009E1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 xml:space="preserve"> no </w:t>
            </w:r>
            <w:r w:rsidR="00FC6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21.01.2016.</w:t>
            </w: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6A76BA" w:rsidRPr="009E15E5" w:rsidRDefault="006A76BA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(pasūtītājs, līguma datums un numurs)</w:t>
            </w: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6A76BA" w:rsidRPr="009E15E5" w:rsidRDefault="005F3542" w:rsidP="005F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Apsekošanas uzdevums (objekta projektēšanas uzdevums) b/n no 2015.gada 12.decembra</w:t>
            </w: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6A76BA" w:rsidRPr="009E15E5" w:rsidRDefault="006A76BA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(apsekošanas uzdevums, tā izsniegšanas datums)</w:t>
            </w: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A76BA" w:rsidRPr="009E15E5" w:rsidRDefault="006A76BA" w:rsidP="00285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A76BA" w:rsidRPr="009E15E5" w:rsidRDefault="00094CE5" w:rsidP="005F5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Atzinums izsniegts 2016</w:t>
            </w:r>
            <w:r w:rsidR="006A76BA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.gada </w:t>
            </w:r>
            <w:r w:rsidR="005F5B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21.martā.</w:t>
            </w: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6A76BA" w:rsidRDefault="006A76BA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(fiziskās personas vārds un uzvārds vai juridiskās personas nosaukums)</w:t>
            </w:r>
          </w:p>
          <w:p w:rsidR="00937277" w:rsidRDefault="00937277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37277" w:rsidRPr="009E15E5" w:rsidRDefault="00937277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>1. Vispārīgas ziņas par būvi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0"/>
        <w:gridCol w:w="4444"/>
        <w:gridCol w:w="4444"/>
      </w:tblGrid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veids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5F5BC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ATC ēka</w:t>
            </w:r>
            <w:r w:rsidR="003D7C3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; 1241 – sakaru ēkas, stacijas, termināļi un ar tām saistītās ēkas.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1.2.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apbūves laukums (m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3D7C30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552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1.3.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būvtilpums (m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F3253B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5016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1.4.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kopējā platība (m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564D8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1185,1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1.5.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stāvu skaits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3D7C30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1.6.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vienības kadastra apzīmējums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5F5BC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9401-001-0609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1.7.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zemesgabala platība (m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- pilsētās, ha - lauku teritorijās)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5F5BC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1515 </w:t>
            </w:r>
            <w:r w:rsidR="00094CE5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m2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1.8.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iepriekšējais īpašnieks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1.9.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pašreizējais īpašnieks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5F5BC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Valkas</w:t>
            </w:r>
            <w:r w:rsidR="00094CE5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novada dome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1.10.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būvprojekta autors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ziņu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1.11.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būvprojekta nosaukums, akceptēšanas gads un datums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ziņu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1.12.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nodošana ekspluatācijā (gads un datums)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5F5BC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1963.gads</w:t>
            </w:r>
            <w:r w:rsidR="00D12C1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 dati no inv.lietas). Ēkas apsekošanā konstatēts, ka ēkas ielas kopruss būvēts pirms otrā pasaules kara.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1.13.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konservācijas gads un datums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1.14.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atjaunošanas, pārbūves, restaurācijas gads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094CE5">
        <w:tc>
          <w:tcPr>
            <w:tcW w:w="32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1.15.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94CE5" w:rsidRPr="009E15E5" w:rsidRDefault="00094CE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kadastrālās uzmērīšanas lietas: numurs, izsniegšanas gads un datums</w:t>
            </w:r>
          </w:p>
        </w:tc>
        <w:tc>
          <w:tcPr>
            <w:tcW w:w="23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094CE5" w:rsidRPr="009E15E5" w:rsidRDefault="00094DDF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datu</w:t>
            </w:r>
          </w:p>
        </w:tc>
      </w:tr>
    </w:tbl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2. Situācija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1"/>
        <w:gridCol w:w="8557"/>
      </w:tblGrid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2.1.</w:t>
            </w:r>
          </w:p>
        </w:tc>
        <w:tc>
          <w:tcPr>
            <w:tcW w:w="4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zemesgabala izmantošanas atbilstība teritorijas plānojumam</w:t>
            </w:r>
          </w:p>
        </w:tc>
      </w:tr>
      <w:tr w:rsidR="009E15E5" w:rsidRPr="009E15E5" w:rsidTr="006A76BA"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B01F5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2.2.</w:t>
            </w:r>
          </w:p>
        </w:tc>
        <w:tc>
          <w:tcPr>
            <w:tcW w:w="4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izvietojums zemesgabalā</w:t>
            </w:r>
          </w:p>
        </w:tc>
      </w:tr>
      <w:tr w:rsidR="009E15E5" w:rsidRPr="009E15E5" w:rsidTr="006A76BA"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0D0796" w:rsidP="00094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 izvietota</w:t>
            </w:r>
            <w:r w:rsidR="00094DDF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neregulāras </w:t>
            </w:r>
            <w:r w:rsidR="00683A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garenvirziena </w:t>
            </w:r>
            <w:r w:rsidR="00094DDF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formas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zemesgabala</w:t>
            </w:r>
            <w:r w:rsidR="00683A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centrā, perpendikulāri Semināra ielai</w:t>
            </w:r>
            <w:r w:rsidR="00F60A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2.3.</w:t>
            </w:r>
          </w:p>
        </w:tc>
        <w:tc>
          <w:tcPr>
            <w:tcW w:w="4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plānojums</w:t>
            </w:r>
          </w:p>
        </w:tc>
      </w:tr>
      <w:tr w:rsidR="009E15E5" w:rsidRPr="009E15E5" w:rsidTr="006A76BA"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83AD6" w:rsidP="00CC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Ēka ir būvēta </w:t>
            </w:r>
            <w:r w:rsidR="00CC71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divos posmos.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ela</w:t>
            </w:r>
            <w:r w:rsidR="00CC71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puses korpuss</w:t>
            </w:r>
            <w:r w:rsidR="004B55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domājams,</w:t>
            </w:r>
            <w:r w:rsidR="00CC71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būvēts pirms otrā pasaules kara</w:t>
            </w:r>
            <w:r w:rsidR="004B55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kam 60-</w:t>
            </w:r>
            <w:r w:rsidR="00F60A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ajos vai 70-ajos gados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piebūvēt</w:t>
            </w:r>
            <w:r w:rsidR="00CC71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F60A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Semināra ielai šķērsvirzienā</w:t>
            </w:r>
            <w:r w:rsidR="00C608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orientēts </w:t>
            </w:r>
            <w:r w:rsidR="004B55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pagalma </w:t>
            </w:r>
            <w:r w:rsidR="00AF337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</w:t>
            </w:r>
            <w:r w:rsidR="00C608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 w:rsidR="00AF337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C608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uss. Arī šis (pagalma kopruss),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visdrīzāk</w:t>
            </w:r>
            <w:r w:rsidR="00C608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ir būvēts divos celtniecības posmos,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ko liecina vertikāla nesošās sienas plaisa ēkas pagalma pusē</w:t>
            </w:r>
            <w:r w:rsidR="004B55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CD7E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pie nesošās mūra šķērssienas</w:t>
            </w:r>
            <w:r w:rsidR="00C608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Būve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 doto brīdi tiek izmantota tikai daļēji ( </w:t>
            </w:r>
            <w:r w:rsidR="001250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SIA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Lattelecom</w:t>
            </w:r>
            <w:r w:rsidR="001250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telpas un senioru centrs </w:t>
            </w:r>
            <w:r w:rsidR="00CD7E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Kastanis</w:t>
            </w:r>
            <w:r w:rsidR="00CD7E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). Būves plānojums ir daļēji pielāgots tās izmantošanas mērķim.</w:t>
            </w:r>
          </w:p>
        </w:tc>
      </w:tr>
    </w:tbl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3. Teritorijas labiekārtojums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0"/>
        <w:gridCol w:w="6656"/>
        <w:gridCol w:w="1902"/>
      </w:tblGrid>
      <w:tr w:rsidR="009E15E5" w:rsidRPr="009E15E5" w:rsidTr="006A76BA">
        <w:tc>
          <w:tcPr>
            <w:tcW w:w="40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Apsekošanas objekta vai apsekošanas priekšmeta nosaukums. Īss konstatēto bojājumu un to cēloņu apraksts, tehniskā stāvokļa novērtējums atsevišķiem būves elementiem, konstrukciju veidiem, būves daļām. Atbilstība normatīvo aktu prasībām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nolietojums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(%)</w:t>
            </w:r>
          </w:p>
        </w:tc>
      </w:tr>
      <w:tr w:rsidR="009E15E5" w:rsidRPr="009E15E5" w:rsidTr="00470621">
        <w:trPr>
          <w:trHeight w:val="282"/>
        </w:trPr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brauktuves, ietves, celiņi un saimniecības laukumi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83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F60A3B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rotaļlaukumi, atpūtas laukumi un sporta laukumi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0D079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apstādījumi un mazās arhitektūras formas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0D079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3.4.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nožogojums un atbalsta sienas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0D079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</w:tbl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4. Būves daļas</w:t>
      </w:r>
    </w:p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sz w:val="24"/>
          <w:szCs w:val="24"/>
          <w:lang w:eastAsia="lv-LV"/>
        </w:rPr>
        <w:t>(Ietver tikai tās būves daļas, kas apsekotas atbilstoši apsekošanas uzdevumam)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0"/>
        <w:gridCol w:w="6656"/>
        <w:gridCol w:w="1902"/>
      </w:tblGrid>
      <w:tr w:rsidR="009E15E5" w:rsidRPr="009E15E5" w:rsidTr="006A76BA">
        <w:tc>
          <w:tcPr>
            <w:tcW w:w="40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Apsekošanas objekta vai apsekošanas priekšmeta nosaukums. Īss konstatēto bojājumu un to cēloņu apraksts, tehniskā stāvokļa novērtējums atsevišķiem būves elementiem, konstrukciju veidiem, būves daļām. Atbilstība normatīvo aktu prasībām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nolietojums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(%)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pamati un pamatne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0AB7" w:rsidP="00F8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Default="0075050A" w:rsidP="0076740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Ielas ko</w:t>
            </w:r>
            <w:r w:rsidR="0012501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usam ir m</w:t>
            </w:r>
            <w:r w:rsidR="009249B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ūrēti šķeltu lauk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akmeņu pamati. Pagalma korpusam ir</w:t>
            </w:r>
            <w:r w:rsidR="009249B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monolīti dzlezsbetona pamati. </w:t>
            </w:r>
            <w:r w:rsidR="000D0796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Detalizēta </w:t>
            </w:r>
            <w:r w:rsidR="00F85399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pamatu apsekošana </w:t>
            </w:r>
            <w:r w:rsidR="000D0796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netika veikta. Vizuālaj</w:t>
            </w:r>
            <w:r w:rsidR="00FC436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 ēkas apskatē</w:t>
            </w:r>
            <w:r w:rsidR="00C070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tika konstatēts, ka ēkas ielas korpusa gala sienai (ZR pusē) ir novērojamas mūra plaisas, kas liecina</w:t>
            </w:r>
            <w:r w:rsidR="00864F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nu par </w:t>
            </w:r>
            <w:r w:rsidR="00821E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esoš</w:t>
            </w:r>
            <w:r w:rsidR="00C070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 pamatu</w:t>
            </w:r>
            <w:r w:rsidR="002B4F6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(laukakmens mūris) novecošanu un stiprības samazināšanos</w:t>
            </w:r>
            <w:r w:rsidR="00C608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</w:t>
            </w:r>
            <w:r w:rsidR="00864F9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 pagalma korpusa izbūves laikā rad</w:t>
            </w:r>
            <w:r w:rsidR="007674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ītu ietekmi uz ielas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</w:t>
            </w:r>
            <w:r w:rsidR="007674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usa pamatiem</w:t>
            </w:r>
            <w:r w:rsidR="007674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grunts pamatni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="00C070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Kopumā</w:t>
            </w:r>
            <w:r w:rsidR="00FC436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C61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bojājumi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(plaisas) </w:t>
            </w:r>
            <w:r w:rsidR="00FC61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tādā apjomā</w:t>
            </w:r>
            <w:r w:rsidR="000D0796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kas liecinātu par </w:t>
            </w:r>
            <w:r w:rsidR="00F85399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būtiskiem </w:t>
            </w:r>
            <w:r w:rsidR="00AA1D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pamatu defektiem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A1D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</w:t>
            </w:r>
            <w:r w:rsidR="00C070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kas </w:t>
            </w:r>
            <w:r w:rsidR="00AA1D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varētu traucēt veikt ēkas telpu grupas vienkāršoto atjaun</w:t>
            </w:r>
            <w:r w:rsidR="009372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ošanu ar lietošanas veida maiņu (attēls Nr.1)</w:t>
            </w:r>
          </w:p>
          <w:p w:rsidR="00CD5D8B" w:rsidRDefault="00937277" w:rsidP="0076740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372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57023131" wp14:editId="0A260011">
                  <wp:extent cx="4448175" cy="3337740"/>
                  <wp:effectExtent l="0" t="0" r="0" b="0"/>
                  <wp:docPr id="9" name="Picture 9" descr="C:\Users\Valdis\Desktop\Darbs\DARBI 2016\Valka\Valka Seminara iela bildes\IMG_56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aldis\Desktop\Darbs\DARBI 2016\Valka\Valka Seminara iela bildes\IMG_56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046" cy="3341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7277" w:rsidRPr="00CD5D8B" w:rsidRDefault="00937277" w:rsidP="0076740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CD5D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1.attēls.Ēkas ielas koprusa gala sienas bojājumi.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4.2.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nesošās sienas, ailu sijas un pārsedzes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0AB7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Default="000B176A" w:rsidP="0093727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Mūrētas  </w:t>
            </w:r>
            <w:r w:rsidR="00D26A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(māla ķieģeļi, vai sil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ikāt</w:t>
            </w:r>
            <w:r w:rsidR="00D26A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ķieģeļi)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nesošās </w:t>
            </w:r>
            <w:r w:rsidR="00D26A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sienas</w:t>
            </w:r>
            <w:r w:rsidR="00FC61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 biezumu 380 un 510 mm</w:t>
            </w:r>
            <w:r w:rsidR="00D26A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Atsevišķās vietās, būvējot ēkas piebūvi, pagalma puses neso</w:t>
            </w:r>
            <w:r w:rsidR="00733D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šā ārsiena</w:t>
            </w:r>
            <w:r w:rsidR="00821E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aizstāta ar ķiegeļ</w:t>
            </w:r>
            <w:r w:rsidR="00FC61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kolonnām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metāla pārseguma sijām.</w:t>
            </w:r>
            <w:r w:rsidR="00C070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Ēkas ielas </w:t>
            </w:r>
            <w:r w:rsidR="00FC61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puses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</w:t>
            </w:r>
            <w:r w:rsidR="002B4F6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usa daļā,</w:t>
            </w:r>
            <w:r w:rsidR="00D26A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otrajā stāvā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D26A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nesošās koka karkasa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sienas 150mm biezumā.</w:t>
            </w:r>
            <w:r w:rsidR="00821E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A3F7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 stāva nesošā šķērssien</w:t>
            </w:r>
            <w:r w:rsidR="00FC61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ir izbū</w:t>
            </w:r>
            <w:r w:rsidR="00821E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vēta uz nesošām koka pārseguma sijām</w:t>
            </w:r>
            <w:r w:rsidR="00FC61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(zem otrā stāva nesošās sienas pirmajā stāvā nav </w:t>
            </w:r>
            <w:r w:rsidR="00821E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nesošo sienu</w:t>
            </w:r>
            <w:r w:rsidR="00FC61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). Šai sienai ir novērojama neliela nosēšanās, kas ir vizuāli redzama pēc sienas kaļķa apmetuma plaisu rakstura.</w:t>
            </w:r>
            <w:r w:rsidR="00821E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Defektu apjoms un raksturs </w:t>
            </w:r>
            <w:r w:rsidR="00825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liecina par ēkā iebūvētām koka sijām</w:t>
            </w:r>
            <w:r w:rsidR="00821E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raksturīgu ieliekšanos līdz ar elementu novecošanos. Dotais defekts uz doto brīdi </w:t>
            </w:r>
            <w:r w:rsidR="002B4F6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rada vizuālus apdares bojājumus,  bet pagaidām </w:t>
            </w:r>
            <w:r w:rsidR="00821E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neietekmē </w:t>
            </w:r>
            <w:r w:rsidR="00733D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sienas </w:t>
            </w:r>
            <w:r w:rsidR="00825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konstrukciju stabilitāti, noturību un drošību.</w:t>
            </w:r>
            <w:r w:rsidR="00937277" w:rsidRPr="009372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 xml:space="preserve"> </w:t>
            </w:r>
            <w:r w:rsidR="00CD5D8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t>(attēls Nr.2)</w:t>
            </w:r>
          </w:p>
          <w:p w:rsidR="00CD5D8B" w:rsidRDefault="00CD5D8B" w:rsidP="00937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D5D8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3872678" cy="2905909"/>
                  <wp:effectExtent l="0" t="0" r="0" b="8890"/>
                  <wp:docPr id="10" name="Picture 10" descr="C:\Users\Valdis\Desktop\Darbs\DARBI 2016\Valka\Valka Seminara iela bildes\IMG_56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aldis\Desktop\Darbs\DARBI 2016\Valka\Valka Seminara iela bildes\IMG_56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1689" cy="2912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5D8B" w:rsidRPr="00CD5D8B" w:rsidRDefault="00CD5D8B" w:rsidP="009372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CD5D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Attēls Nr.2. Nesošā 2.stāva koka konstrukcijas iekšsiena (skats. no telpas Nr.40) 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4.3.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karkasa elementi: kolonnas, rīģeļi un sijas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0AB7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Default="00F50D84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Ēkas ielas koprusam nesošās sienas</w:t>
            </w:r>
            <w:r w:rsidR="002B4F6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ēkas pārbūves gaitā</w:t>
            </w:r>
            <w:r w:rsidR="002B4F6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ir daļēji aizstātas ar karkasa tipa risinājumu –</w:t>
            </w:r>
            <w:r w:rsidR="0093727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tas ir, ēkas pirmajā stāvā ir izbūvētas m</w:t>
            </w:r>
            <w:r w:rsidR="00825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ūrētas ķieģeļ</w:t>
            </w:r>
            <w:r w:rsidR="00733D7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kolonnas ar izmēru 640x640mm, uz kurām ir balstīt</w:t>
            </w:r>
            <w:r w:rsidR="002B4F6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as </w:t>
            </w:r>
            <w:r w:rsidR="00825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tērauda pārseguma sijas </w:t>
            </w:r>
            <w:r w:rsidR="002B4F6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="00825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zem nesošām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otrā stāva </w:t>
            </w:r>
            <w:r w:rsidR="00825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sienām</w:t>
            </w:r>
            <w:r w:rsidR="002B4F6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="008251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Vizuālajā apskatē netika konstatēti tādi defekti, kas liecinātu par karkasa elementu nepilnībām.</w:t>
            </w:r>
          </w:p>
          <w:p w:rsidR="00937277" w:rsidRDefault="00CD5D8B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D5D8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4324350" cy="3244827"/>
                  <wp:effectExtent l="0" t="0" r="0" b="0"/>
                  <wp:docPr id="11" name="Picture 11" descr="C:\Users\Valdis\Desktop\Darbs\DARBI 2016\Valka\Bildes_21.12.2016\IMG_5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aldis\Desktop\Darbs\DARBI 2016\Valka\Bildes_21.12.2016\IMG_5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2556" cy="3250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5D8B" w:rsidRPr="00CD5D8B" w:rsidRDefault="00CD5D8B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CD5D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Attēls Nr.3. Ēkas ieštelpas. Nesošās mūra kolonnas un tērauda pārseguma sijas.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pašnesošās sienas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1B2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4.5.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šuvju hermetizācija, hidroizolācija un siltumizolācija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0AB7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9E15E5" w:rsidRPr="009E15E5" w:rsidTr="006A76BA">
        <w:trPr>
          <w:trHeight w:val="1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FC61B3" w:rsidP="00C3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Sīkāka hidroizolācijas izpēte netika veikta, jo vizālajā ap</w:t>
            </w:r>
            <w:r w:rsidR="00FE2B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skatē netika konstatētas tādas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FE2B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zīmes, kas liecinātu par hidroizolācijas nepilnībām. 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4.6.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pagraba, starpstāvu, bēniņu pārsegumi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C3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34F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415C9F" w:rsidP="002B4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Pagraba pārsegums – monolīts dzelzsebetona pārsegums un saliekamie dzelzsbetona elementi ( ribotie paneļi). Pārsegums virs pirmā stāva – saliekamie dzelzsbetona paneļi un koka siju pārsegums (ielas puses korpusam). Vizuālajā aps</w:t>
            </w:r>
            <w:r w:rsidR="009659A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atē netika konstatēti tādi defekti, kas liecinātu par pārsegumu defektiem un būtu šķērslis vienkāršotās atjaunošanas veikšanai telpās.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4.7.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telpiskās noturības elementi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B36865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rPr>
          <w:trHeight w:val="1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B36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jumta elementi: nesošā konstrukcija, jumta klājs, jumta segums, lietusūdens novadsistēma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5B15AC" w:rsidP="00B5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5B15AC" w:rsidP="00C90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Koka elementu divslīpju jumts ( spāres, kopturi, savilces), kas balstīts uz nesošām ārsienām, nesošām iekšsienām un 2.stāva pārseguma. Viļņoto azbestcementa lokšņu segums.  Cinkotā skārda lietusūdens novades sistēma.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4.9.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balkoni, lodžijas, lieveņi, jumtiņi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B5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5B15AC" w:rsidP="00C904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 ēkas ieejas durvīm ir izveidoti betonēti lieveņi. Virs galvenām ieejas</w:t>
            </w:r>
            <w:r w:rsidR="00567E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durvīm (ielas pusē) ir dzelzsbetona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jumtiņš.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4.10.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kāpnes un pandusi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B5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F50D84" w:rsidP="00567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Ēkā ir izbūvas divas kāpņu telpas</w:t>
            </w:r>
            <w:r w:rsidR="00940A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Kāpnes ielas ko</w:t>
            </w:r>
            <w:r w:rsidR="00567E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rp</w:t>
            </w:r>
            <w:r w:rsidR="000563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usam</w:t>
            </w:r>
            <w:r w:rsidR="00940A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5B15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 betonēti dz</w:t>
            </w:r>
            <w:r w:rsidR="000563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elzsbetona laukumi un saliekamo elementu</w:t>
            </w:r>
            <w:r w:rsidR="005B15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kāpņu laidi ( tērauda sijas un saliekamie betona pakāpieni). Kāpnes pagalma korpusā – saliekamie dzelzsbetona elementi.</w:t>
            </w:r>
            <w:r w:rsidR="00940A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Pie ēku ieejas durvīm ir izbūvēti betonēti lieveņi.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4.11.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B575A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starpsienas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C3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5B15AC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Ķiegeļu, koka karkasa un ģipškarotona starpsienas.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4.12.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grīdas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C3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96F2F" w:rsidRPr="009E15E5" w:rsidRDefault="00940AD5" w:rsidP="00056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Pirmajā stāvā ir</w:t>
            </w:r>
            <w:r w:rsidR="005B15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betona grīda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kas izbūvēta</w:t>
            </w:r>
            <w:r w:rsidR="005B15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 grunts</w:t>
            </w:r>
            <w:r w:rsidR="00393E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563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vai</w:t>
            </w:r>
            <w:r w:rsidR="00393E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virs pagraba pārseguma konst</w:t>
            </w:r>
            <w:r w:rsidR="000563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ru</w:t>
            </w:r>
            <w:r w:rsidR="00393E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kcijas</w:t>
            </w:r>
            <w:r w:rsidR="005B15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587F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Grīdas segums –linolejs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gu</w:t>
            </w:r>
            <w:r w:rsidR="00393E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ijotas loksnes, vai flīzes</w:t>
            </w:r>
            <w:r w:rsidR="00587F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5B15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Atseviškos </w:t>
            </w:r>
            <w:r w:rsidR="00393E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pirmā stāva telpu </w:t>
            </w:r>
            <w:r w:rsidR="005B15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sektoros pagraba pārseguma augša atrodas ~ 370mm zemāk kā pirmā stāva grīda, līdz ar to</w:t>
            </w:r>
            <w:r w:rsidR="001257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virs pagraba pārseguma ir iz</w:t>
            </w:r>
            <w:r w:rsidR="00587F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būvēta koka konstrukcijas grīda (koka brusas, dēļu melnā grīda un gumijoto plākšņu segums).</w:t>
            </w:r>
            <w:r w:rsidR="005B15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587F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Grīda</w:t>
            </w:r>
            <w:r w:rsidR="00393E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587F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ēkas otrajā stāva (apsekošanas zonā) – koka dēļu grīda, ieklāta uz koka pārseguma elementiem. Virs dēļiem ieklāts krāsots perskartona virssegums. Grīdu segumi stipri  nolietojušies.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4.13.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ailu aizpildījumi: vārti, ārdurvis, iekšdurvis, logi, lūkas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F36E34" w:rsidP="004A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587F34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</w:t>
            </w:r>
            <w:r w:rsidR="00E33F8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īvkoka iekšdurvis un ārdurvis. Atsevišķam telpām uzstādītas kartona šūnu pildījumu durvis. Logi – stikla pakešu logi baltos PVC rāmjos un koka logi ar dubulto stiklojumu.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4.14.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krāsnis, virtuves pavardi, dūmeņi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konstrukciju un materiālu ugunsizturība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4.16.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ventilācijas šahtas un kanāli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36E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9E15E5" w:rsidRPr="009E15E5" w:rsidTr="006A76BA">
        <w:trPr>
          <w:trHeight w:val="1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587F34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Ēkā atrodas divi ventilācijas kanāli ar kopumā 7 vēdināšanas kanāliem. 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4.17.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liftu šahtas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rPr>
          <w:trHeight w:val="1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4.18.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iekšējā apdare un arhitektūras detaļas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9C70DD" w:rsidP="00C3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  <w:r w:rsidR="00F36E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587F34" w:rsidP="00B5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Iekšējo apdari veido krāsots apmetums, dažviet klāts ar krāsotām tapetēm. </w:t>
            </w:r>
            <w:r w:rsidR="002B55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Ielas korpusa 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āpņu telpā ir izmantots “uzsmidzinātā</w:t>
            </w:r>
            <w:r w:rsidR="002B55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tipa apmetums, kas veido asu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virsmu. Griesti –</w:t>
            </w:r>
            <w:r w:rsidR="004F62E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krāsots griestu apmetums, atsevišķās telpās – piekārtie griesti ( paneļi, vai metāla plāksnes).</w:t>
            </w:r>
            <w:r w:rsidR="008B4F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Iekšējā apdare ir </w:t>
            </w:r>
            <w:r w:rsidR="008B4F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stipri nolietojusies un atrodas neapmierinošā stāvoklī.</w:t>
            </w:r>
            <w:r w:rsidR="002B558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Ielas</w:t>
            </w:r>
            <w:r w:rsidR="00DA052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korpusa kāpņu telpas “uzsmidzinātā” tipa apmetums ir ļotu rupjs (ass) un var radīt ēkas lietotājiem savainojumus.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4.19.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ārējā apdare un arhitektūras detaļas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C34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4A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4.20.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būves daļas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rPr>
          <w:trHeight w:val="1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AE407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</w:tbl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5. Iekšējie inženiertīkli un iekārtas</w:t>
      </w:r>
    </w:p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sz w:val="24"/>
          <w:szCs w:val="24"/>
          <w:lang w:eastAsia="lv-LV"/>
        </w:rPr>
        <w:t>(Ietver tikai tos iekšējos inženiertīklus un iekārtas, kas apsekotas atbilstoši apsekošanas uzdevumam)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0"/>
        <w:gridCol w:w="6656"/>
        <w:gridCol w:w="1902"/>
      </w:tblGrid>
      <w:tr w:rsidR="009E15E5" w:rsidRPr="009E15E5" w:rsidTr="006A76BA">
        <w:tc>
          <w:tcPr>
            <w:tcW w:w="40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Apsekošanas objekta vai apsekošanas priekšmeta nosaukums. Īss konstatēto bojājumu un to cēloņu apraksts, tehniskā stāvokļa novērtējums atsevišķiem būves elementiem, konstrukciju veidiem un būves daļām. Atbilstība normatīvo aktu prasībām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nolietojums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(%)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5.1.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aukstā ūdens un kanalizācijas cauruļvadi, ventiļi, krāni, sanitārtehniskā iekārta, ūdens patēriņa skaitītāji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5.2.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karstā ūdens cauruļvadi, to izolācija, ventiļi, krāni, ūdensmaisītāji, žāvētāji, ar cieto kurināmo apkurināmie ūdens sildītāji, ūdens patēriņa un siltumenerģijas patēriņa skaitītāji un citi elementi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ugunsdzēsības ūdensvads, automātiskās ugunsdzēsības sistēmas un dūmaizsardzības risinājumi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1D0FD2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5.4.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sistēma, tās cauruļvadi, stāvvadi, ventiļi, cauruļvadu izolācija, apkures katli, siltummaiņi, mēraparāti, automātika un citi elementi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5.5.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centrālapkures radiatori, kaloriferi, konvektori un to pievadi, siltuma regulatori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ventilācijas un gaisa kondicionēšanas iekārta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DA052C" w:rsidP="001D0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5.7.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atkritumu vadi un kameras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5.8.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gāzesvadi un iekārtas, gāzes ūdenssildītāji, gāzes apkures katli, gāzes patēriņa skaitītāji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1D0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elektroapgādes sistēma un elektrotehniskās ietaises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6A76BA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5.10.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apsardzes, signalizācijas, saziņas un citas iekārtas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DA052C" w:rsidP="001D0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5.11.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vājstrāvas tīkli un ietaises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DA052C" w:rsidP="001D0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-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5.12.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lifta iekārta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AE407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Nav </w:t>
            </w: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5.13.</w:t>
            </w:r>
          </w:p>
        </w:tc>
        <w:tc>
          <w:tcPr>
            <w:tcW w:w="3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ietaises un iekārtas</w:t>
            </w:r>
          </w:p>
        </w:tc>
        <w:tc>
          <w:tcPr>
            <w:tcW w:w="1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rPr>
          <w:trHeight w:val="1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AE4076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</w:tbl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6. Ārējie inženiertīkli</w:t>
      </w:r>
    </w:p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sz w:val="24"/>
          <w:szCs w:val="24"/>
          <w:lang w:eastAsia="lv-LV"/>
        </w:rPr>
        <w:t>(Ietver tikai tos ārējos inženiertīklus, kas apsekoti atbilstoši apsekošanas uzdevumam)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1"/>
        <w:gridCol w:w="6929"/>
        <w:gridCol w:w="1628"/>
      </w:tblGrid>
      <w:tr w:rsidR="009E15E5" w:rsidRPr="009E15E5" w:rsidTr="0039451D">
        <w:tc>
          <w:tcPr>
            <w:tcW w:w="414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Apsekošanas objekta vai apsekošanas priekšmeta nosaukums. Īss konstatēto bojājumu un to cēloņu apraksts, tehniskā stāvokļa novērtējums atsevišķiem būves elementiem, konstrukciju veidiem, būves daļām. Atbilstība normatīvo aktu prasībām</w:t>
            </w:r>
          </w:p>
        </w:tc>
        <w:tc>
          <w:tcPr>
            <w:tcW w:w="8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nolietojums</w:t>
            </w: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(%)</w:t>
            </w:r>
          </w:p>
        </w:tc>
      </w:tr>
      <w:tr w:rsidR="009E15E5" w:rsidRPr="009E15E5" w:rsidTr="0039451D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</w:t>
            </w:r>
          </w:p>
        </w:tc>
        <w:tc>
          <w:tcPr>
            <w:tcW w:w="36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ūdensapgāde</w:t>
            </w:r>
          </w:p>
        </w:tc>
        <w:tc>
          <w:tcPr>
            <w:tcW w:w="8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39451D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6.2.</w:t>
            </w:r>
          </w:p>
        </w:tc>
        <w:tc>
          <w:tcPr>
            <w:tcW w:w="36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kanalizācija</w:t>
            </w:r>
          </w:p>
        </w:tc>
        <w:tc>
          <w:tcPr>
            <w:tcW w:w="8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39451D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6.3.</w:t>
            </w:r>
          </w:p>
        </w:tc>
        <w:tc>
          <w:tcPr>
            <w:tcW w:w="36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drenāžas sistēmas</w:t>
            </w:r>
          </w:p>
        </w:tc>
        <w:tc>
          <w:tcPr>
            <w:tcW w:w="8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rPr>
          <w:trHeight w:val="1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582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39451D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6.4.</w:t>
            </w:r>
          </w:p>
        </w:tc>
        <w:tc>
          <w:tcPr>
            <w:tcW w:w="36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siltumapgāde</w:t>
            </w:r>
          </w:p>
        </w:tc>
        <w:tc>
          <w:tcPr>
            <w:tcW w:w="8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39451D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6.5.</w:t>
            </w:r>
          </w:p>
        </w:tc>
        <w:tc>
          <w:tcPr>
            <w:tcW w:w="36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gāzes apgāde</w:t>
            </w:r>
          </w:p>
        </w:tc>
        <w:tc>
          <w:tcPr>
            <w:tcW w:w="8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582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39451D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6.6.</w:t>
            </w:r>
          </w:p>
        </w:tc>
        <w:tc>
          <w:tcPr>
            <w:tcW w:w="36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zibensaizsardzība</w:t>
            </w:r>
          </w:p>
        </w:tc>
        <w:tc>
          <w:tcPr>
            <w:tcW w:w="8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rPr>
          <w:trHeight w:val="1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825120" w:rsidP="00582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39451D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6.7.</w:t>
            </w:r>
          </w:p>
        </w:tc>
        <w:tc>
          <w:tcPr>
            <w:tcW w:w="36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sistēmas</w:t>
            </w:r>
          </w:p>
        </w:tc>
        <w:tc>
          <w:tcPr>
            <w:tcW w:w="8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C524E"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E15E5" w:rsidRPr="009E15E5" w:rsidTr="006A76BA">
        <w:trPr>
          <w:trHeight w:val="1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6A76BA" w:rsidRPr="009E15E5" w:rsidRDefault="006A76BA" w:rsidP="006A76B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E15E5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7. Kopsavilkums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1"/>
        <w:gridCol w:w="8557"/>
      </w:tblGrid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7.1.</w:t>
            </w:r>
          </w:p>
        </w:tc>
        <w:tc>
          <w:tcPr>
            <w:tcW w:w="4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būves tehniskais nolietojums</w:t>
            </w:r>
          </w:p>
        </w:tc>
      </w:tr>
      <w:tr w:rsidR="009E15E5" w:rsidRPr="009E15E5" w:rsidTr="006A76BA"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4F62E3" w:rsidRDefault="00495DC2" w:rsidP="004F62E3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 tika apsekota pirms ēkas telpu grupas vienkāršotās atjaunoša</w:t>
            </w:r>
            <w:r w:rsidR="00AC00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nas veikšanas. </w:t>
            </w:r>
          </w:p>
          <w:p w:rsidR="00B3786F" w:rsidRDefault="00421F55" w:rsidP="004F62E3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Apsekotā telpu grupa</w:t>
            </w:r>
            <w:r w:rsidR="00495DC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kopumā atrodas apmierinošā tehniskā stāvoklī. </w:t>
            </w:r>
          </w:p>
          <w:p w:rsidR="00B3786F" w:rsidRDefault="00495DC2" w:rsidP="004F62E3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Vidējais </w:t>
            </w:r>
            <w:r w:rsidR="00421F5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telpu grupas nolietojums</w:t>
            </w:r>
            <w:r w:rsidR="007132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vērtējams 50% robežās. </w:t>
            </w:r>
          </w:p>
          <w:p w:rsidR="00B3786F" w:rsidRDefault="007132E4" w:rsidP="004F62E3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Nesošās konstrukcijas atrodas apmierinošā tehniskā stāvoklī – nolietojums 40%. </w:t>
            </w:r>
          </w:p>
          <w:p w:rsidR="00B3786F" w:rsidRDefault="00421F55" w:rsidP="004F62E3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Daļēji apmierinošā stāvoklī atrodas telpu grupas iekšējās inženierkomunikācijas (apkure, ūdensapgāde un kanalizācija, elektroapgāde) – nolietojums 60%. </w:t>
            </w:r>
          </w:p>
          <w:p w:rsidR="00495DC2" w:rsidRPr="009E15E5" w:rsidRDefault="00421F55" w:rsidP="004F62E3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Neapmierinošā stāvoklī atrodas iekštelpu apdare (grīdas un grīdu segumi, griesti, sienu apdare, ailu aizpildījums) – nolietojums 70% (ir nolietojusies un mūsdienu prasībām neatbilstoša iekštelpu apdare un telpu iekārtojums).</w:t>
            </w:r>
          </w:p>
          <w:p w:rsidR="00150F0F" w:rsidRPr="009E15E5" w:rsidRDefault="00150F0F" w:rsidP="00DD7886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7.2.</w:t>
            </w:r>
          </w:p>
        </w:tc>
        <w:tc>
          <w:tcPr>
            <w:tcW w:w="4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A76BA" w:rsidRPr="009E15E5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secinājumi un ieteikumi</w:t>
            </w:r>
          </w:p>
        </w:tc>
      </w:tr>
      <w:tr w:rsidR="009E15E5" w:rsidRPr="009E15E5" w:rsidTr="006A76BA"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E60407" w:rsidRPr="00E60407" w:rsidRDefault="00E60407" w:rsidP="00DD7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040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</w:t>
            </w:r>
            <w:r w:rsidR="00AC00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kās apsekošanas akts ir daļa no SIA “Alberts GS’ </w:t>
            </w:r>
            <w:r w:rsidR="00CE38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izstrādātā vienkāršotās atjaunošanas projekta “Multifunkcionāls jaunatnes iniciatīvu centra”.</w:t>
            </w:r>
          </w:p>
          <w:p w:rsidR="00E60407" w:rsidRDefault="00E60407" w:rsidP="00DD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lv-LV"/>
              </w:rPr>
            </w:pPr>
          </w:p>
          <w:p w:rsidR="00DD7886" w:rsidRPr="009E15E5" w:rsidRDefault="00DD7886" w:rsidP="00DD7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lv-LV"/>
              </w:rPr>
              <w:t>Secinājumi:</w:t>
            </w:r>
          </w:p>
          <w:p w:rsidR="00A537D6" w:rsidRPr="00D668FF" w:rsidRDefault="00637DB6" w:rsidP="00A537D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Apsekotā telpu grupa</w:t>
            </w:r>
            <w:r w:rsidR="007F77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6040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kopumā </w:t>
            </w:r>
            <w:r w:rsidR="007F774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 apmierinošā tehniskā stāvoklī. Nav konstatētas tādas pazīmes, kas liecinātu par </w:t>
            </w:r>
            <w:r w:rsidR="00D668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būtiskām nesošo konstrukciju nepilnībām un kas varētu traucēt veikt ēkas </w:t>
            </w:r>
            <w:r w:rsidR="007132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vienkāršoto </w:t>
            </w:r>
            <w:r w:rsidR="00D668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atjaunošanu.</w:t>
            </w:r>
          </w:p>
          <w:p w:rsidR="00D668FF" w:rsidRPr="007F7745" w:rsidRDefault="00D668FF" w:rsidP="00A537D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Ēkas konst</w:t>
            </w:r>
            <w:r w:rsidR="007347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kcijām konstatētie defekti ( mūra plaisas ielas ko</w:t>
            </w:r>
            <w:r w:rsidR="00E97B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usa gala sienai, un 2.stāva nesošās koka karkasa sienas deformācija) ir </w:t>
            </w:r>
            <w:r w:rsidR="00464C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skaidrojamas ar ēkas dabisko novecošanos, izmantoto būvniecības tehnoloģiju, un iespējams, saistītas ar ēkas piebūves (tajā skaitā pagraba) ko</w:t>
            </w:r>
            <w:r w:rsidR="007132E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rp</w:t>
            </w:r>
            <w:r w:rsidR="00464CA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usa izbūves darbiem. Bojājumu raksturs uz doto brīdi neietekmē ēkas ekspluatāciju. </w:t>
            </w:r>
          </w:p>
          <w:p w:rsidR="00E60407" w:rsidRPr="00E60407" w:rsidRDefault="00E60407" w:rsidP="00A537D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Telpu grupai</w:t>
            </w:r>
            <w:r w:rsidR="00E97B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ja to paredzēts izmantot,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nepieciešams veikt vienkāršoto atjaunošanu – inženiertīklu (apkure, elektroapgāde) atjaunošanu, jaunu inženiertīklu izbūvi (ugunsdzēsības automātikas signalizācija) un iekštelpu apdares atjaunošanu.</w:t>
            </w:r>
          </w:p>
          <w:p w:rsidR="00E60407" w:rsidRPr="00E60407" w:rsidRDefault="00E60407" w:rsidP="00A537D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Telpu grupai ir iespējama iekštelpu pārplānošana atbilstoši </w:t>
            </w:r>
            <w:r w:rsidR="00CE38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SIA “Alberts GS” izstrādātajai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vienkāršotās renovācija projekta </w:t>
            </w:r>
            <w:r w:rsidR="00CE38A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“Multifuncionāls jaunatnes iniciatīvu centrs” ietvaros izstrādātājam telpu pārbūves risinājumam (projekta arhitektūras sadaļa).</w:t>
            </w:r>
          </w:p>
          <w:p w:rsidR="00E60407" w:rsidRPr="00E60407" w:rsidRDefault="00E60407" w:rsidP="00E6040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4A4B33" w:rsidRDefault="004A4B33" w:rsidP="00E97B6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lv-LV"/>
              </w:rPr>
              <w:t>Ieteikumi.</w:t>
            </w:r>
          </w:p>
          <w:p w:rsidR="00E97B66" w:rsidRPr="00E97B66" w:rsidRDefault="00E97B66" w:rsidP="00E97B66">
            <w:pPr>
              <w:pStyle w:val="List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lv-LV"/>
              </w:rPr>
            </w:pPr>
          </w:p>
          <w:p w:rsidR="00E97B66" w:rsidRPr="00E97B66" w:rsidRDefault="00E97B66" w:rsidP="00E97B6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97B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Turpmākā ēkas ekspuatācijas gaitā pievērst uzmanību un veikt ikgadēju apsekošanu ēkas ielas korpusa ārsienu esošiem bojājumiem ( plaisas) un sekot līdzi  otrā stāva nesošo koka šķērsienas tehniskam stāvoklim.</w:t>
            </w:r>
          </w:p>
          <w:p w:rsidR="00E97B66" w:rsidRPr="009E15E5" w:rsidRDefault="00E97B66" w:rsidP="00E97B6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lv-LV"/>
              </w:rPr>
            </w:pPr>
          </w:p>
          <w:p w:rsidR="004A4B33" w:rsidRDefault="004A4B33" w:rsidP="00FD06DD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FD06DD" w:rsidRPr="009E15E5" w:rsidRDefault="00FD06DD" w:rsidP="00FD06DD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6A76BA" w:rsidRPr="009E15E5" w:rsidRDefault="009E15E5" w:rsidP="009E15E5">
      <w:pPr>
        <w:shd w:val="clear" w:color="auto" w:fill="FFFFFF"/>
        <w:spacing w:before="100" w:beforeAutospacing="1" w:after="100" w:afterAutospacing="1" w:line="293" w:lineRule="atLeas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T</w:t>
      </w:r>
      <w:r w:rsidR="00BE1BE9" w:rsidRPr="009E15E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ehniskā apsekošana </w:t>
      </w:r>
      <w:r w:rsidR="006A76BA" w:rsidRPr="009E15E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veikta </w:t>
      </w:r>
      <w:r w:rsidR="00AE4076" w:rsidRPr="009E15E5">
        <w:rPr>
          <w:rFonts w:ascii="Times New Roman" w:eastAsia="Times New Roman" w:hAnsi="Times New Roman" w:cs="Times New Roman"/>
          <w:sz w:val="24"/>
          <w:szCs w:val="24"/>
          <w:lang w:eastAsia="lv-LV"/>
        </w:rPr>
        <w:t>2016</w:t>
      </w:r>
      <w:r w:rsidR="006A76BA" w:rsidRPr="009E15E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.gada </w:t>
      </w:r>
      <w:r w:rsidR="007132E4">
        <w:rPr>
          <w:rFonts w:ascii="Times New Roman" w:eastAsia="Times New Roman" w:hAnsi="Times New Roman" w:cs="Times New Roman"/>
          <w:sz w:val="24"/>
          <w:szCs w:val="24"/>
          <w:lang w:eastAsia="lv-LV"/>
        </w:rPr>
        <w:t>02.februārī.</w:t>
      </w: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24"/>
      </w:tblGrid>
      <w:tr w:rsidR="009E15E5" w:rsidRPr="009E15E5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6A76BA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B3786F" w:rsidRDefault="00B3786F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0" w:name="_GoBack"/>
            <w:bookmarkEnd w:id="0"/>
          </w:p>
          <w:p w:rsidR="00911DFA" w:rsidRPr="009E15E5" w:rsidRDefault="00911DF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E15E5" w:rsidRPr="009E15E5" w:rsidTr="006A76BA">
        <w:trPr>
          <w:trHeight w:val="300"/>
        </w:trPr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6A76BA" w:rsidRPr="009E15E5" w:rsidRDefault="006A76BA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E15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(izpildītāja paraksts (vārds, uzvārds, sertifikāta numurs))</w:t>
            </w:r>
          </w:p>
        </w:tc>
      </w:tr>
      <w:tr w:rsidR="006A76BA" w:rsidRPr="006A76BA" w:rsidTr="006A76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6A76BA" w:rsidRDefault="006A76B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eastAsia="lv-LV"/>
              </w:rPr>
            </w:pPr>
            <w:r w:rsidRPr="006A76BA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eastAsia="lv-LV"/>
              </w:rPr>
              <w:t> </w:t>
            </w:r>
          </w:p>
          <w:p w:rsidR="00911DFA" w:rsidRPr="006A76BA" w:rsidRDefault="00911DFA" w:rsidP="006A7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eastAsia="lv-LV"/>
              </w:rPr>
            </w:pPr>
          </w:p>
        </w:tc>
      </w:tr>
      <w:tr w:rsidR="006A76BA" w:rsidRPr="006A76BA" w:rsidTr="006A76BA">
        <w:trPr>
          <w:trHeight w:val="300"/>
        </w:trPr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6A76BA" w:rsidRPr="006A76BA" w:rsidRDefault="006A76BA" w:rsidP="006A76B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eastAsia="lv-LV"/>
              </w:rPr>
            </w:pPr>
            <w:r w:rsidRPr="006A76BA">
              <w:rPr>
                <w:rFonts w:ascii="Times New Roman" w:eastAsia="Times New Roman" w:hAnsi="Times New Roman" w:cs="Times New Roman"/>
                <w:color w:val="414142"/>
                <w:sz w:val="24"/>
                <w:szCs w:val="24"/>
                <w:lang w:eastAsia="lv-LV"/>
              </w:rPr>
              <w:t>(juridiskās personas vadītāja vārds, uzvārds un paraksts)</w:t>
            </w:r>
          </w:p>
        </w:tc>
      </w:tr>
    </w:tbl>
    <w:p w:rsidR="009E15E5" w:rsidRDefault="009E15E5" w:rsidP="00BE1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51D" w:rsidRDefault="0039451D" w:rsidP="00BE1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51D" w:rsidRDefault="0039451D" w:rsidP="00BE1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51D" w:rsidRDefault="0039451D" w:rsidP="00BE1B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BE9" w:rsidRDefault="00BE1BE9" w:rsidP="00874C35">
      <w:pPr>
        <w:rPr>
          <w:rFonts w:ascii="Times New Roman" w:hAnsi="Times New Roman" w:cs="Times New Roman"/>
          <w:sz w:val="24"/>
          <w:szCs w:val="24"/>
        </w:rPr>
      </w:pPr>
    </w:p>
    <w:p w:rsidR="00FD3BA0" w:rsidRPr="00094CE5" w:rsidRDefault="00937277" w:rsidP="00937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</w:p>
    <w:sectPr w:rsidR="00FD3BA0" w:rsidRPr="00094CE5" w:rsidSect="00DF05E7">
      <w:pgSz w:w="11906" w:h="16838"/>
      <w:pgMar w:top="1021" w:right="96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804E6"/>
    <w:multiLevelType w:val="hybridMultilevel"/>
    <w:tmpl w:val="19009852"/>
    <w:lvl w:ilvl="0" w:tplc="0C3C9E0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37BCC"/>
    <w:multiLevelType w:val="hybridMultilevel"/>
    <w:tmpl w:val="434E520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E68C2"/>
    <w:multiLevelType w:val="hybridMultilevel"/>
    <w:tmpl w:val="9E72FD3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52A4C"/>
    <w:multiLevelType w:val="hybridMultilevel"/>
    <w:tmpl w:val="3ADC6DBA"/>
    <w:lvl w:ilvl="0" w:tplc="FA8EE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DC0A0D"/>
    <w:multiLevelType w:val="hybridMultilevel"/>
    <w:tmpl w:val="E3BEA4F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64"/>
    <w:rsid w:val="000563D4"/>
    <w:rsid w:val="00094CE5"/>
    <w:rsid w:val="00094DDF"/>
    <w:rsid w:val="000B176A"/>
    <w:rsid w:val="000D0796"/>
    <w:rsid w:val="000F0A3E"/>
    <w:rsid w:val="000F420F"/>
    <w:rsid w:val="0012501E"/>
    <w:rsid w:val="00125778"/>
    <w:rsid w:val="00150F0F"/>
    <w:rsid w:val="00161764"/>
    <w:rsid w:val="001B2E0E"/>
    <w:rsid w:val="001D0FD2"/>
    <w:rsid w:val="001F7623"/>
    <w:rsid w:val="0020590F"/>
    <w:rsid w:val="00227B84"/>
    <w:rsid w:val="002403F6"/>
    <w:rsid w:val="00241D29"/>
    <w:rsid w:val="0028584D"/>
    <w:rsid w:val="002B4F6B"/>
    <w:rsid w:val="002B5585"/>
    <w:rsid w:val="002C5807"/>
    <w:rsid w:val="002D3E8A"/>
    <w:rsid w:val="00306012"/>
    <w:rsid w:val="00353626"/>
    <w:rsid w:val="00387DED"/>
    <w:rsid w:val="00393EE8"/>
    <w:rsid w:val="0039451D"/>
    <w:rsid w:val="00397076"/>
    <w:rsid w:val="003D7C30"/>
    <w:rsid w:val="003F4EFA"/>
    <w:rsid w:val="00415C9F"/>
    <w:rsid w:val="00421F55"/>
    <w:rsid w:val="00464CA9"/>
    <w:rsid w:val="00470621"/>
    <w:rsid w:val="00475368"/>
    <w:rsid w:val="00485015"/>
    <w:rsid w:val="00495DC2"/>
    <w:rsid w:val="004A4B33"/>
    <w:rsid w:val="004A7BA3"/>
    <w:rsid w:val="004B551E"/>
    <w:rsid w:val="004B5656"/>
    <w:rsid w:val="004D3C3D"/>
    <w:rsid w:val="004F62E3"/>
    <w:rsid w:val="005456DC"/>
    <w:rsid w:val="00552427"/>
    <w:rsid w:val="00564D85"/>
    <w:rsid w:val="00567E8C"/>
    <w:rsid w:val="0058213C"/>
    <w:rsid w:val="00587F34"/>
    <w:rsid w:val="005B15AC"/>
    <w:rsid w:val="005F3542"/>
    <w:rsid w:val="005F5BC6"/>
    <w:rsid w:val="006119F4"/>
    <w:rsid w:val="00637DB6"/>
    <w:rsid w:val="00644501"/>
    <w:rsid w:val="00665A2E"/>
    <w:rsid w:val="00683AD6"/>
    <w:rsid w:val="006A76BA"/>
    <w:rsid w:val="006B2CF0"/>
    <w:rsid w:val="007017EB"/>
    <w:rsid w:val="007132E4"/>
    <w:rsid w:val="00733D7F"/>
    <w:rsid w:val="00734770"/>
    <w:rsid w:val="0075050A"/>
    <w:rsid w:val="007564B6"/>
    <w:rsid w:val="0076740C"/>
    <w:rsid w:val="00777258"/>
    <w:rsid w:val="007C35CD"/>
    <w:rsid w:val="007F0AE9"/>
    <w:rsid w:val="007F7745"/>
    <w:rsid w:val="00820AB7"/>
    <w:rsid w:val="008217F7"/>
    <w:rsid w:val="00821E2A"/>
    <w:rsid w:val="0082228F"/>
    <w:rsid w:val="00825120"/>
    <w:rsid w:val="00862711"/>
    <w:rsid w:val="00864F9D"/>
    <w:rsid w:val="00874C35"/>
    <w:rsid w:val="008844E1"/>
    <w:rsid w:val="00886823"/>
    <w:rsid w:val="008A478A"/>
    <w:rsid w:val="008B4FC6"/>
    <w:rsid w:val="008E2DF5"/>
    <w:rsid w:val="008E605D"/>
    <w:rsid w:val="00911DFA"/>
    <w:rsid w:val="009249BC"/>
    <w:rsid w:val="00931F5C"/>
    <w:rsid w:val="00937277"/>
    <w:rsid w:val="00940AD5"/>
    <w:rsid w:val="00952DBA"/>
    <w:rsid w:val="009659AD"/>
    <w:rsid w:val="009C70DD"/>
    <w:rsid w:val="009E15E5"/>
    <w:rsid w:val="00A11D40"/>
    <w:rsid w:val="00A537D6"/>
    <w:rsid w:val="00A96F2F"/>
    <w:rsid w:val="00A9710A"/>
    <w:rsid w:val="00AA1D5D"/>
    <w:rsid w:val="00AC0082"/>
    <w:rsid w:val="00AD468B"/>
    <w:rsid w:val="00AE4076"/>
    <w:rsid w:val="00AF337C"/>
    <w:rsid w:val="00B01F56"/>
    <w:rsid w:val="00B36865"/>
    <w:rsid w:val="00B3786F"/>
    <w:rsid w:val="00B5474F"/>
    <w:rsid w:val="00B575A6"/>
    <w:rsid w:val="00BE1BE9"/>
    <w:rsid w:val="00BE5096"/>
    <w:rsid w:val="00C032C2"/>
    <w:rsid w:val="00C0707A"/>
    <w:rsid w:val="00C319AB"/>
    <w:rsid w:val="00C34FD6"/>
    <w:rsid w:val="00C6080C"/>
    <w:rsid w:val="00C76FA4"/>
    <w:rsid w:val="00C904BC"/>
    <w:rsid w:val="00CA3F7A"/>
    <w:rsid w:val="00CA5042"/>
    <w:rsid w:val="00CA6714"/>
    <w:rsid w:val="00CC71F4"/>
    <w:rsid w:val="00CD5D8B"/>
    <w:rsid w:val="00CD7E6E"/>
    <w:rsid w:val="00CE38AC"/>
    <w:rsid w:val="00D04C05"/>
    <w:rsid w:val="00D12C10"/>
    <w:rsid w:val="00D26ACF"/>
    <w:rsid w:val="00D668FF"/>
    <w:rsid w:val="00DA052C"/>
    <w:rsid w:val="00DC6092"/>
    <w:rsid w:val="00DD7886"/>
    <w:rsid w:val="00DF05E7"/>
    <w:rsid w:val="00E018CD"/>
    <w:rsid w:val="00E33F8E"/>
    <w:rsid w:val="00E60407"/>
    <w:rsid w:val="00E60705"/>
    <w:rsid w:val="00E76EF7"/>
    <w:rsid w:val="00E91D01"/>
    <w:rsid w:val="00E97B66"/>
    <w:rsid w:val="00F25C0E"/>
    <w:rsid w:val="00F3253B"/>
    <w:rsid w:val="00F36E34"/>
    <w:rsid w:val="00F50D84"/>
    <w:rsid w:val="00F60A3B"/>
    <w:rsid w:val="00F85399"/>
    <w:rsid w:val="00FC436E"/>
    <w:rsid w:val="00FC524E"/>
    <w:rsid w:val="00FC61B3"/>
    <w:rsid w:val="00FD06DD"/>
    <w:rsid w:val="00FD3BA0"/>
    <w:rsid w:val="00FE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ACD77-FF8E-437F-ABEE-2B6C02D5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76BA"/>
    <w:rPr>
      <w:color w:val="0000FF"/>
      <w:u w:val="single"/>
    </w:rPr>
  </w:style>
  <w:style w:type="paragraph" w:customStyle="1" w:styleId="tvhtml">
    <w:name w:val="tv_html"/>
    <w:basedOn w:val="Normal"/>
    <w:rsid w:val="006A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387D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7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7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9150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8449E-5C4E-427E-AD5F-706FB9C05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9</Pages>
  <Words>8391</Words>
  <Characters>4783</Characters>
  <Application>Microsoft Office Word</Application>
  <DocSecurity>0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 Firma</dc:creator>
  <cp:keywords/>
  <dc:description/>
  <cp:lastModifiedBy>Alberts Firma</cp:lastModifiedBy>
  <cp:revision>259</cp:revision>
  <cp:lastPrinted>2016-04-21T15:07:00Z</cp:lastPrinted>
  <dcterms:created xsi:type="dcterms:W3CDTF">2016-02-19T14:54:00Z</dcterms:created>
  <dcterms:modified xsi:type="dcterms:W3CDTF">2016-04-21T15:07:00Z</dcterms:modified>
</cp:coreProperties>
</file>